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76F055F4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C333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</w:t>
      </w:r>
      <w:r w:rsidR="006D01B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524DF3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5492</w:t>
      </w:r>
    </w:p>
    <w:p w14:paraId="4BF14776" w14:textId="2646AA45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6D01B7">
        <w:rPr>
          <w:rFonts w:ascii="Arial" w:eastAsia="宋体" w:hAnsi="Arial" w:cs="黑体"/>
          <w:b/>
          <w:bCs/>
          <w:noProof/>
          <w:kern w:val="0"/>
          <w:sz w:val="24"/>
        </w:rPr>
        <w:t>0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6D01B7">
        <w:rPr>
          <w:rFonts w:ascii="Arial" w:eastAsia="宋体" w:hAnsi="Arial" w:cs="黑体"/>
          <w:b/>
          <w:bCs/>
          <w:noProof/>
          <w:kern w:val="0"/>
          <w:sz w:val="24"/>
        </w:rPr>
        <w:t>18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6D01B7">
        <w:rPr>
          <w:rFonts w:ascii="Arial" w:eastAsia="宋体" w:hAnsi="Arial" w:cs="黑体"/>
          <w:b/>
          <w:bCs/>
          <w:noProof/>
          <w:kern w:val="0"/>
          <w:sz w:val="24"/>
        </w:rPr>
        <w:t>Oct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27A335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00B6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4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69C875F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Interference mitigation of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mobile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IAB-node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mobility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229606AE" w14:textId="77777777" w:rsidR="002F0CB9" w:rsidRDefault="002F0CB9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F445C1">
        <w:trPr>
          <w:trHeight w:val="699"/>
        </w:trPr>
        <w:tc>
          <w:tcPr>
            <w:tcW w:w="9704" w:type="dxa"/>
          </w:tcPr>
          <w:p w14:paraId="5E39EA32" w14:textId="77777777" w:rsidR="007F72C7" w:rsidRDefault="007F72C7" w:rsidP="007F72C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6EDA58A7" w14:textId="77777777" w:rsidR="007F72C7" w:rsidRPr="00D06F6A" w:rsidRDefault="007F72C7" w:rsidP="007F72C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4987EC5D" w14:textId="77777777" w:rsidR="007F72C7" w:rsidRPr="00D06F6A" w:rsidRDefault="007F72C7" w:rsidP="007F72C7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7E8382A0" w14:textId="77777777" w:rsidR="007F72C7" w:rsidRPr="00314064" w:rsidRDefault="007F72C7" w:rsidP="007F72C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163721F9" w14:textId="77777777" w:rsidR="007F72C7" w:rsidRPr="00314064" w:rsidRDefault="007F72C7" w:rsidP="007F72C7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1C058673" w14:textId="30F58455" w:rsidR="002F0CB9" w:rsidRPr="007F72C7" w:rsidRDefault="007F72C7" w:rsidP="007F72C7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055EB1BC" w14:textId="6B846858" w:rsidR="00B12328" w:rsidRDefault="00B12328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last RAN3 meeting, following agreements have been achieved for interference mitigation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B12328" w14:paraId="6D76BDF0" w14:textId="77777777" w:rsidTr="00421130">
        <w:trPr>
          <w:trHeight w:val="1443"/>
        </w:trPr>
        <w:tc>
          <w:tcPr>
            <w:tcW w:w="9680" w:type="dxa"/>
          </w:tcPr>
          <w:p w14:paraId="171D99D6" w14:textId="77777777" w:rsidR="00B12328" w:rsidRPr="002C1786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PCI space partitioning via OAM configuration can be used in some cases for avoidance of PCI collisions.</w:t>
            </w:r>
          </w:p>
          <w:p w14:paraId="65A36BAD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From RAN3 perspective, existing mechanism can be used for PCI collision detection in mobile IAB scenario. Further enhancement is FFS. </w:t>
            </w:r>
          </w:p>
          <w:p w14:paraId="4966A9E2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to discuss whether mobile IAB needs any enhancements to the existing mechanisms for PCI collision avoidance and/or optimization.</w:t>
            </w:r>
          </w:p>
          <w:p w14:paraId="02901B5F" w14:textId="77777777" w:rsidR="00B12328" w:rsidRPr="00E43BBA" w:rsidRDefault="00B12328" w:rsidP="00421130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From RAN3 perspective, no enhancements are needed for RACH collision avoidance unless requested by other WGs.</w:t>
            </w:r>
          </w:p>
        </w:tc>
      </w:tr>
    </w:tbl>
    <w:p w14:paraId="77F07309" w14:textId="7E724212" w:rsidR="002F0CB9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710426" w:rsidRPr="00710426">
        <w:rPr>
          <w:rFonts w:ascii="Times New Roman" w:eastAsia="宋体" w:hAnsi="Times New Roman" w:cs="Times New Roman"/>
          <w:kern w:val="0"/>
          <w:sz w:val="20"/>
          <w:szCs w:val="20"/>
        </w:rPr>
        <w:t>nterference mitigation of mobile IAB-node mobility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>especially for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PCI during the full migration of mobile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FDA7ECB" w14:textId="127FF1AE" w:rsidR="00D56D50" w:rsidRPr="00024188" w:rsidRDefault="00D56D50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bookmarkStart w:id="2" w:name="OLE_LINK5"/>
      <w:r w:rsidRPr="0002418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</w:rPr>
        <w:t>P</w:t>
      </w:r>
      <w:r w:rsidRPr="00024188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CI collision</w:t>
      </w:r>
      <w:r w:rsidR="00825F46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 of mobile IAB-node</w:t>
      </w:r>
    </w:p>
    <w:bookmarkEnd w:id="2"/>
    <w:p w14:paraId="09ABF7BB" w14:textId="2ECFF955" w:rsidR="002B0937" w:rsidRDefault="002B0937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or a mobile IAB-node undergoing full migration, it has two logical IAB-DUs</w:t>
      </w:r>
      <w:r w:rsidR="00A5584E">
        <w:rPr>
          <w:rFonts w:ascii="Times New Roman" w:eastAsia="宋体" w:hAnsi="Times New Roman" w:cs="Times New Roman"/>
          <w:kern w:val="0"/>
          <w:sz w:val="20"/>
          <w:szCs w:val="20"/>
        </w:rPr>
        <w:t xml:space="preserve"> (IAB-DU1 and IAB-DU2)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terminates at source IAB-donor-CU and target IAB-donor-CU separately. </w:t>
      </w:r>
      <w:r w:rsidR="008F3B09">
        <w:rPr>
          <w:rFonts w:ascii="Times New Roman" w:eastAsia="宋体" w:hAnsi="Times New Roman" w:cs="Times New Roman"/>
          <w:kern w:val="0"/>
          <w:sz w:val="20"/>
          <w:szCs w:val="20"/>
        </w:rPr>
        <w:t>And the cell</w:t>
      </w:r>
      <w:r w:rsidR="0018528A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8F3B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two logical IAB-DUs can be activated simultaneously </w:t>
      </w:r>
      <w:r w:rsidR="00A5584E">
        <w:rPr>
          <w:rFonts w:ascii="Times New Roman" w:eastAsia="宋体" w:hAnsi="Times New Roman" w:cs="Times New Roman"/>
          <w:kern w:val="0"/>
          <w:sz w:val="20"/>
          <w:szCs w:val="20"/>
        </w:rPr>
        <w:t>so that the served UEs of the mobile IAB-node can perform handover from the source cell in logical IAB-DU1 to the target cell in logical IAB-DU2.</w:t>
      </w:r>
    </w:p>
    <w:p w14:paraId="2D306242" w14:textId="1AA8C400" w:rsidR="005750E7" w:rsidRDefault="00245134" w:rsidP="005750E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5301" w:dyaOrig="3931" w14:anchorId="0C53F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pt;height:143.5pt" o:ole="">
            <v:imagedata r:id="rId7" o:title=""/>
          </v:shape>
          <o:OLEObject Type="Embed" ProgID="Visio.Drawing.15" ShapeID="_x0000_i1025" DrawAspect="Content" ObjectID="_1725862738" r:id="rId8"/>
        </w:object>
      </w:r>
    </w:p>
    <w:p w14:paraId="09A90607" w14:textId="788BA580" w:rsidR="005750E7" w:rsidRPr="005750E7" w:rsidRDefault="005750E7" w:rsidP="005750E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Example of </w:t>
      </w:r>
      <w:r>
        <w:rPr>
          <w:rFonts w:ascii="Times New Roman" w:hAnsi="Times New Roman" w:cs="Times New Roman"/>
          <w:sz w:val="20"/>
          <w:szCs w:val="20"/>
        </w:rPr>
        <w:t>inter-donor migration of mobile IAB-node and its served UE</w:t>
      </w:r>
    </w:p>
    <w:p w14:paraId="024F60D4" w14:textId="41B52992" w:rsidR="00C6567D" w:rsidRDefault="004C1E05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the same frequency band, i</w:t>
      </w:r>
      <w:r w:rsidR="00531731">
        <w:rPr>
          <w:rFonts w:ascii="Times New Roman" w:eastAsia="宋体" w:hAnsi="Times New Roman" w:cs="Times New Roman"/>
          <w:kern w:val="0"/>
          <w:sz w:val="20"/>
          <w:szCs w:val="20"/>
        </w:rPr>
        <w:t xml:space="preserve">f source cell of IAB-DU1 and target cell of IAB-DU2 use the same PCI, UE in the cell </w:t>
      </w:r>
      <w:r w:rsidR="00BC7983">
        <w:rPr>
          <w:rFonts w:ascii="Times New Roman" w:eastAsia="宋体" w:hAnsi="Times New Roman" w:cs="Times New Roman"/>
          <w:kern w:val="0"/>
          <w:sz w:val="20"/>
          <w:szCs w:val="20"/>
        </w:rPr>
        <w:t>cannot differentiate the two cells using the same PCI and can</w:t>
      </w:r>
      <w:r w:rsidR="005317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only detect </w:t>
      </w:r>
      <w:r w:rsidR="00BC7983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</w:t>
      </w:r>
      <w:r w:rsidR="00531731">
        <w:rPr>
          <w:rFonts w:ascii="Times New Roman" w:eastAsia="宋体" w:hAnsi="Times New Roman" w:cs="Times New Roman"/>
          <w:kern w:val="0"/>
          <w:sz w:val="20"/>
          <w:szCs w:val="20"/>
        </w:rPr>
        <w:t xml:space="preserve">synchronize to one of them which lead to </w:t>
      </w:r>
      <w:r w:rsidR="00C6567D">
        <w:rPr>
          <w:rFonts w:ascii="Times New Roman" w:eastAsia="宋体" w:hAnsi="Times New Roman" w:cs="Times New Roman"/>
          <w:kern w:val="0"/>
          <w:sz w:val="20"/>
          <w:szCs w:val="20"/>
        </w:rPr>
        <w:t xml:space="preserve">potential </w:t>
      </w:r>
      <w:r w:rsidR="00531731">
        <w:rPr>
          <w:rFonts w:ascii="Times New Roman" w:eastAsia="宋体" w:hAnsi="Times New Roman" w:cs="Times New Roman"/>
          <w:kern w:val="0"/>
          <w:sz w:val="20"/>
          <w:szCs w:val="20"/>
        </w:rPr>
        <w:t>PCI collision</w:t>
      </w:r>
      <w:r w:rsidR="0053173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</w:t>
      </w:r>
      <w:r w:rsidR="00C6567D">
        <w:rPr>
          <w:rFonts w:ascii="Times New Roman" w:eastAsia="宋体" w:hAnsi="Times New Roman" w:cs="Times New Roman"/>
          <w:kern w:val="0"/>
          <w:sz w:val="20"/>
          <w:szCs w:val="20"/>
        </w:rPr>
        <w:t>In addition,</w:t>
      </w:r>
      <w:r w:rsidR="005317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if a UE in the third cell wants to </w:t>
      </w:r>
      <w:r w:rsidR="00C6567D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r w:rsidR="005317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 </w:t>
      </w:r>
      <w:r w:rsidR="00C6567D">
        <w:rPr>
          <w:rFonts w:ascii="Times New Roman" w:eastAsia="宋体" w:hAnsi="Times New Roman" w:cs="Times New Roman"/>
          <w:kern w:val="0"/>
          <w:sz w:val="20"/>
          <w:szCs w:val="20"/>
        </w:rPr>
        <w:t>cell of IAB-DU1 or a cell of IAB-DU2 which is identified by the same PCI at the same time, gNB of the third cell is confusion and cannot distinguish the two cells for UE to handover.</w:t>
      </w:r>
    </w:p>
    <w:p w14:paraId="57DB68D7" w14:textId="0AF6B519" w:rsidR="002B0937" w:rsidRDefault="002B0937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F3B0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8F3B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1: </w:t>
      </w:r>
      <w:r w:rsidR="0060014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There is </w:t>
      </w:r>
      <w:r w:rsidRPr="008F3B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PCI collision and PCI confusion if source cell of IAB-DU1 and target cell of IAB-DU2 use the same PCI</w:t>
      </w:r>
      <w:r w:rsidR="0060014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the same frequency band</w:t>
      </w:r>
      <w:r w:rsidRPr="008F3B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2A9639" w14:textId="139AC7FF" w:rsidR="00F445C1" w:rsidRDefault="00C6567D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F445C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ogical IAB-DU</w:t>
      </w:r>
      <w:r w:rsidR="00F445C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F445C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and logical IAB-DU2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shall be </w:t>
      </w:r>
      <w:r w:rsidR="00F445C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operated on different frequency bands or use different cell</w:t>
      </w:r>
      <w:r w:rsidR="0062366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IDs</w:t>
      </w:r>
      <w:r w:rsidR="00F445C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C80D8EB" w14:textId="2B6A282C" w:rsidR="00026089" w:rsidRDefault="00437048" w:rsidP="0043704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case of mobile IAB, the potential PCI collision will be further enlarged due to the mobility of the mobile IAB-node.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owever, </w:t>
      </w:r>
      <w:r w:rsidR="00F445C1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agreed in last meeting, </w:t>
      </w:r>
      <w:r w:rsidR="00C07D41">
        <w:rPr>
          <w:rFonts w:ascii="Times New Roman" w:eastAsia="宋体" w:hAnsi="Times New Roman" w:cs="Times New Roman"/>
          <w:kern w:val="0"/>
          <w:sz w:val="20"/>
          <w:szCs w:val="20"/>
        </w:rPr>
        <w:t>PCI space p</w:t>
      </w:r>
      <w:r w:rsidR="00C20B7E">
        <w:rPr>
          <w:rFonts w:ascii="Times New Roman" w:eastAsia="宋体" w:hAnsi="Times New Roman" w:cs="Times New Roman"/>
          <w:kern w:val="0"/>
          <w:sz w:val="20"/>
          <w:szCs w:val="20"/>
        </w:rPr>
        <w:t>ar</w:t>
      </w:r>
      <w:r w:rsidR="00C07D41">
        <w:rPr>
          <w:rFonts w:ascii="Times New Roman" w:eastAsia="宋体" w:hAnsi="Times New Roman" w:cs="Times New Roman"/>
          <w:kern w:val="0"/>
          <w:sz w:val="20"/>
          <w:szCs w:val="20"/>
        </w:rPr>
        <w:t>ti</w:t>
      </w:r>
      <w:r w:rsidR="00C20B7E">
        <w:rPr>
          <w:rFonts w:ascii="Times New Roman" w:eastAsia="宋体" w:hAnsi="Times New Roman" w:cs="Times New Roman"/>
          <w:kern w:val="0"/>
          <w:sz w:val="20"/>
          <w:szCs w:val="20"/>
        </w:rPr>
        <w:t>ti</w:t>
      </w:r>
      <w:r w:rsidR="00C07D41">
        <w:rPr>
          <w:rFonts w:ascii="Times New Roman" w:eastAsia="宋体" w:hAnsi="Times New Roman" w:cs="Times New Roman"/>
          <w:kern w:val="0"/>
          <w:sz w:val="20"/>
          <w:szCs w:val="20"/>
        </w:rPr>
        <w:t xml:space="preserve">oning via OAM configuration can be used in some case for avoidance of PCI collisions, </w:t>
      </w:r>
      <w:r w:rsidR="00026089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which means a separate set of PCIs may be assigned for the mobile IAB-node. And in this way, </w:t>
      </w:r>
      <w:r w:rsidR="00846F8C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 will be no PCI collision between mobile IAB-nodes and </w:t>
      </w:r>
      <w:proofErr w:type="gramStart"/>
      <w:r w:rsidR="00846F8C">
        <w:rPr>
          <w:rFonts w:ascii="Times New Roman" w:eastAsia="宋体" w:hAnsi="Times New Roman" w:cs="Times New Roman"/>
          <w:kern w:val="0"/>
          <w:sz w:val="20"/>
          <w:szCs w:val="20"/>
        </w:rPr>
        <w:t>stationary</w:t>
      </w:r>
      <w:proofErr w:type="gramEnd"/>
      <w:r w:rsidR="00846F8C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IAB-nodes. And in case of mobile IAB-node with pre-defined or predictable moving trajectory, OAM based PCI partitioning can also work well to avoid PCI </w:t>
      </w:r>
      <w:r w:rsidR="0062366C">
        <w:rPr>
          <w:rFonts w:ascii="Times New Roman" w:eastAsia="宋体" w:hAnsi="Times New Roman" w:cs="Times New Roman"/>
          <w:kern w:val="0"/>
          <w:sz w:val="20"/>
          <w:szCs w:val="20"/>
        </w:rPr>
        <w:t>collision</w:t>
      </w:r>
      <w:r w:rsidR="00846F8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EFD7BB2" w14:textId="5556139E" w:rsidR="00C609F2" w:rsidRPr="00C609F2" w:rsidRDefault="00C609F2" w:rsidP="00C609F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09F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C609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C609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PCI partitioning via OAM can work well in case of mobile IAB-node with pre-defined or </w:t>
      </w:r>
      <w:r w:rsidR="00846F8C" w:rsidRPr="00846F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predictable moving trajectory</w:t>
      </w:r>
      <w:r w:rsidRPr="00C609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17B2300" w14:textId="3175752E" w:rsidR="00B12328" w:rsidRDefault="00EF4EF0" w:rsidP="0043704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as agreed in last meeting, </w:t>
      </w:r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>existing mechanism can be used for PCI collision detection in mobile IAB scenario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here t</w:t>
      </w:r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</w:t>
      </w:r>
      <w:proofErr w:type="spellStart"/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(IAB-donor)</w:t>
      </w:r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restrict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list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assigned by OAM</w:t>
      </w:r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removing some PCIs that are reported by UEs, reported over the </w:t>
      </w:r>
      <w:proofErr w:type="spellStart"/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by neighboring </w:t>
      </w:r>
      <w:proofErr w:type="spellStart"/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>gNBs</w:t>
      </w:r>
      <w:proofErr w:type="spellEnd"/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and/or acquired through other methods, </w:t>
      </w:r>
      <w:proofErr w:type="gramStart"/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>e.g.</w:t>
      </w:r>
      <w:proofErr w:type="gramEnd"/>
      <w:r w:rsidRPr="00EF4E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detected over the air using a downlink receiver.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for IAB-node, IAB-donor can also obtain the PCI information via the F1 setup request message. </w:t>
      </w:r>
      <w:r w:rsidR="001403B2">
        <w:rPr>
          <w:rFonts w:ascii="Times New Roman" w:eastAsia="宋体" w:hAnsi="Times New Roman" w:cs="Times New Roman"/>
          <w:kern w:val="0"/>
          <w:sz w:val="20"/>
          <w:szCs w:val="20"/>
        </w:rPr>
        <w:t>Based 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information above, IAB-donor can perform PCI collision detection </w:t>
      </w:r>
      <w:r w:rsidR="001403B2">
        <w:rPr>
          <w:rFonts w:ascii="Times New Roman" w:eastAsia="宋体" w:hAnsi="Times New Roman" w:cs="Times New Roman"/>
          <w:kern w:val="0"/>
          <w:sz w:val="20"/>
          <w:szCs w:val="20"/>
        </w:rPr>
        <w:t xml:space="preserve">by implementation and perform PCI collision avoidance via the PCI </w:t>
      </w:r>
      <w:proofErr w:type="spellStart"/>
      <w:r w:rsidR="001403B2">
        <w:rPr>
          <w:rFonts w:ascii="Times New Roman" w:eastAsia="宋体" w:hAnsi="Times New Roman" w:cs="Times New Roman"/>
          <w:kern w:val="0"/>
          <w:sz w:val="20"/>
          <w:szCs w:val="20"/>
        </w:rPr>
        <w:t>Optimisation</w:t>
      </w:r>
      <w:proofErr w:type="spellEnd"/>
      <w:r w:rsidR="001403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Function as specified in the appendix</w:t>
      </w:r>
      <w:r w:rsidR="001E31B9">
        <w:rPr>
          <w:rFonts w:ascii="Times New Roman" w:eastAsia="宋体" w:hAnsi="Times New Roman" w:cs="Times New Roman"/>
          <w:kern w:val="0"/>
          <w:sz w:val="20"/>
          <w:szCs w:val="20"/>
        </w:rPr>
        <w:t xml:space="preserve"> [3][4]</w:t>
      </w:r>
      <w:r w:rsidR="001403B2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6B0187C" w14:textId="31D26BAD" w:rsidR="00B12328" w:rsidRPr="001403B2" w:rsidRDefault="001403B2" w:rsidP="0043704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403B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3: The PCI </w:t>
      </w:r>
      <w:proofErr w:type="spellStart"/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Optimisation</w:t>
      </w:r>
      <w:proofErr w:type="spellEnd"/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Function can be used to avoid PCI collision for mobile IAB as a supplement of OAM partitioning.</w:t>
      </w:r>
    </w:p>
    <w:p w14:paraId="2D70F71B" w14:textId="4D65492D" w:rsidR="003E65A1" w:rsidRPr="001403B2" w:rsidRDefault="0042219E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221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221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</w:t>
      </w:r>
      <w:r w:rsid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2</w:t>
      </w:r>
      <w:r w:rsidRPr="004221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 w:rsid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Use OAM based PCI partitioning and </w:t>
      </w:r>
      <w:r w:rsidR="001403B2"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PCI </w:t>
      </w:r>
      <w:proofErr w:type="spellStart"/>
      <w:r w:rsidR="001403B2"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Optimisation</w:t>
      </w:r>
      <w:proofErr w:type="spellEnd"/>
      <w:r w:rsidR="001403B2"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Function</w:t>
      </w:r>
      <w:r w:rsid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r</w:t>
      </w:r>
      <w:r w:rsidR="001403B2" w:rsidRPr="004221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esolve the PCI collision for mobile IAB-node</w:t>
      </w:r>
      <w:r w:rsidRPr="004221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51AEA6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potential i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nterference mitigation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464D8F3" w14:textId="77777777" w:rsidR="005F5BD1" w:rsidRDefault="005F5BD1" w:rsidP="005F5BD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bookmarkStart w:id="3" w:name="OLE_LINK8"/>
      <w:r w:rsidRPr="008F3B0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8F3B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1: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There is </w:t>
      </w:r>
      <w:r w:rsidRPr="008F3B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PCI collision and PCI confusion if source cell of IAB-DU1 and target cell of IAB-DU2 use the same PCI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the same frequency band</w:t>
      </w:r>
      <w:r w:rsidRPr="008F3B0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3BE3D18C" w14:textId="77777777" w:rsidR="005F5BD1" w:rsidRPr="00C609F2" w:rsidRDefault="005F5BD1" w:rsidP="005F5BD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609F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C609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C609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PCI partitioning via OAM can work well in case of mobile IAB-node with pre-defined or </w:t>
      </w:r>
      <w:r w:rsidRPr="00846F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predictable moving trajectory</w:t>
      </w:r>
      <w:r w:rsidRPr="00C609F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DEAB796" w14:textId="77777777" w:rsidR="005F5BD1" w:rsidRPr="001403B2" w:rsidRDefault="005F5BD1" w:rsidP="005F5BD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403B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3: The PCI </w:t>
      </w:r>
      <w:proofErr w:type="spellStart"/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Optimisation</w:t>
      </w:r>
      <w:proofErr w:type="spellEnd"/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Function can be used to avoid PCI collision for mobile IAB as a supplement of OAM partitioning.</w:t>
      </w:r>
    </w:p>
    <w:p w14:paraId="706190B8" w14:textId="5D253676" w:rsidR="005F5BD1" w:rsidRDefault="005F5BD1" w:rsidP="005F5BD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1: Logical IAB-DU1 and logical IAB-DU2 shall be operated on different frequency bands or use different cell</w:t>
      </w:r>
      <w:r w:rsidR="0062366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IDs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9F9E405" w14:textId="2ACD82C5" w:rsidR="005F5BD1" w:rsidRPr="001403B2" w:rsidRDefault="005F5BD1" w:rsidP="005F5BD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221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4221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2</w:t>
      </w:r>
      <w:r w:rsidRPr="004221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Use OAM based PCI partitioning and </w:t>
      </w:r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PCI </w:t>
      </w:r>
      <w:proofErr w:type="spellStart"/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Optimisation</w:t>
      </w:r>
      <w:proofErr w:type="spellEnd"/>
      <w:r w:rsidRPr="001403B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Function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r</w:t>
      </w:r>
      <w:r w:rsidRPr="004221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esolve the PCI collision for mobile IAB-node.</w:t>
      </w:r>
      <w:r w:rsidR="00C801B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bookmarkEnd w:id="3"/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245F9148" w14:textId="51A3DE3F" w:rsidR="002F0CB9" w:rsidRDefault="007F72C7" w:rsidP="002F0CB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7F72C7">
        <w:rPr>
          <w:rFonts w:ascii="Times New Roman" w:eastAsia="宋体" w:hAnsi="Times New Roman" w:cs="Times New Roman"/>
          <w:kern w:val="0"/>
          <w:sz w:val="20"/>
          <w:lang w:val="x-none"/>
        </w:rPr>
        <w:t>RP-222671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7F72C7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Revised WID for </w:t>
      </w:r>
      <w:proofErr w:type="spellStart"/>
      <w:r w:rsidRPr="007F72C7">
        <w:rPr>
          <w:rFonts w:ascii="Times New Roman" w:eastAsia="宋体" w:hAnsi="Times New Roman" w:cs="Times New Roman"/>
          <w:kern w:val="0"/>
          <w:sz w:val="20"/>
          <w:lang w:val="x-none"/>
        </w:rPr>
        <w:t>NR_mobile_IAB</w:t>
      </w:r>
      <w:proofErr w:type="spellEnd"/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1691EE7B" w14:textId="07BC98A4" w:rsidR="00FF3A0E" w:rsidRDefault="00FF3A0E" w:rsidP="002F0CB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 meeting.</w:t>
      </w:r>
    </w:p>
    <w:p w14:paraId="7F787F2D" w14:textId="273870CC" w:rsidR="0042219E" w:rsidRPr="00107AD8" w:rsidRDefault="00107AD8" w:rsidP="00107AD8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3GPP TS 38.</w:t>
      </w:r>
      <w:r w:rsidR="0042219E">
        <w:rPr>
          <w:rFonts w:ascii="Times New Roman" w:eastAsia="宋体" w:hAnsi="Times New Roman" w:cs="Times New Roman" w:hint="eastAsia"/>
          <w:kern w:val="0"/>
          <w:sz w:val="20"/>
          <w:lang w:val="x-none"/>
        </w:rPr>
        <w:t>3</w:t>
      </w:r>
      <w:r w:rsidR="0042219E">
        <w:rPr>
          <w:rFonts w:ascii="Times New Roman" w:eastAsia="宋体" w:hAnsi="Times New Roman" w:cs="Times New Roman"/>
          <w:kern w:val="0"/>
          <w:sz w:val="20"/>
          <w:lang w:val="x-none"/>
        </w:rPr>
        <w:t>00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="00D81223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NR; </w:t>
      </w:r>
      <w:r w:rsidRPr="00107AD8">
        <w:rPr>
          <w:rFonts w:ascii="Times New Roman" w:eastAsia="宋体" w:hAnsi="Times New Roman" w:cs="Times New Roman"/>
          <w:kern w:val="0"/>
          <w:sz w:val="20"/>
          <w:lang w:val="x-none"/>
        </w:rPr>
        <w:t>NR and NG-RAN Overall Description;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Pr="00107AD8">
        <w:rPr>
          <w:rFonts w:ascii="Times New Roman" w:eastAsia="宋体" w:hAnsi="Times New Roman" w:cs="Times New Roman"/>
          <w:kern w:val="0"/>
          <w:sz w:val="20"/>
          <w:lang w:val="x-none"/>
        </w:rPr>
        <w:t>Stage 2</w:t>
      </w:r>
      <w:r w:rsidR="00D13826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="00D13826"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(Release 1</w:t>
      </w:r>
      <w:r w:rsidR="00D13826">
        <w:rPr>
          <w:rFonts w:ascii="Times New Roman" w:eastAsia="宋体" w:hAnsi="Times New Roman" w:cs="Times New Roman"/>
          <w:kern w:val="0"/>
          <w:sz w:val="20"/>
          <w:lang w:val="x-none"/>
        </w:rPr>
        <w:t>7</w:t>
      </w:r>
      <w:r w:rsidR="00D13826"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7D7AC881" w14:textId="658A17DE" w:rsidR="001D64DD" w:rsidRDefault="00590794" w:rsidP="001403B2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3GPP TS 38.</w:t>
      </w:r>
      <w:r w:rsidR="0042219E">
        <w:rPr>
          <w:rFonts w:ascii="Times New Roman" w:eastAsia="宋体" w:hAnsi="Times New Roman" w:cs="Times New Roman" w:hint="eastAsia"/>
          <w:kern w:val="0"/>
          <w:sz w:val="20"/>
          <w:lang w:val="x-none"/>
        </w:rPr>
        <w:t>4</w:t>
      </w:r>
      <w:r w:rsidR="0042219E">
        <w:rPr>
          <w:rFonts w:ascii="Times New Roman" w:eastAsia="宋体" w:hAnsi="Times New Roman" w:cs="Times New Roman"/>
          <w:kern w:val="0"/>
          <w:sz w:val="20"/>
          <w:lang w:val="x-none"/>
        </w:rPr>
        <w:t>01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59079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Architecture description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(Release 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7</w:t>
      </w:r>
      <w:r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1F7259AC" w14:textId="3BE84ABC" w:rsidR="00E07038" w:rsidRPr="00AA3FAE" w:rsidRDefault="00E07038" w:rsidP="00E0703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>
        <w:rPr>
          <w:rFonts w:ascii="Arial" w:eastAsia="Dotum" w:hAnsi="Arial" w:cs="Times New Roman"/>
          <w:kern w:val="0"/>
          <w:sz w:val="36"/>
          <w:szCs w:val="36"/>
          <w:lang w:val="en-GB"/>
        </w:rPr>
        <w:t>Appendix</w:t>
      </w:r>
    </w:p>
    <w:tbl>
      <w:tblPr>
        <w:tblW w:w="965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3"/>
      </w:tblGrid>
      <w:tr w:rsidR="00E07038" w14:paraId="646BAA8E" w14:textId="77777777" w:rsidTr="00421130">
        <w:trPr>
          <w:trHeight w:val="330"/>
        </w:trPr>
        <w:tc>
          <w:tcPr>
            <w:tcW w:w="9653" w:type="dxa"/>
          </w:tcPr>
          <w:p w14:paraId="7B8233C5" w14:textId="77777777" w:rsidR="00E07038" w:rsidRPr="00E724F1" w:rsidRDefault="00E07038" w:rsidP="0042113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jc w:val="left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/>
              </w:rPr>
            </w:pPr>
            <w:bookmarkStart w:id="4" w:name="_Toc109153950"/>
            <w:r w:rsidRPr="00E724F1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/>
              </w:rPr>
              <w:t>15.5.6</w:t>
            </w:r>
            <w:r w:rsidRPr="00E724F1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/>
              </w:rPr>
              <w:tab/>
              <w:t>Support for PCI Optimisation</w:t>
            </w:r>
            <w:bookmarkEnd w:id="4"/>
            <w:r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/>
              </w:rPr>
              <w:t xml:space="preserve"> [2]</w:t>
            </w:r>
          </w:p>
          <w:p w14:paraId="4D090354" w14:textId="77777777" w:rsidR="00E07038" w:rsidRPr="00E724F1" w:rsidRDefault="00E07038" w:rsidP="0042113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The PCI Optimization Function in split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case is specified in TS 38.401 [4].</w:t>
            </w:r>
          </w:p>
          <w:p w14:paraId="6DD1839B" w14:textId="77777777" w:rsidR="00E07038" w:rsidRPr="00E724F1" w:rsidRDefault="00E07038" w:rsidP="00421130">
            <w:pPr>
              <w:keepNext/>
              <w:keepLines/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3"/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</w:pPr>
            <w:bookmarkStart w:id="5" w:name="_Toc109153951"/>
            <w:r w:rsidRPr="00E724F1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/>
              </w:rPr>
              <w:t>15.5.6.1</w:t>
            </w:r>
            <w:r w:rsidRPr="00E724F1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tab/>
            </w:r>
            <w:r w:rsidRPr="00E724F1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/>
              </w:rPr>
              <w:t>Centralized PCI Assignment</w:t>
            </w:r>
            <w:bookmarkEnd w:id="5"/>
          </w:p>
          <w:p w14:paraId="19B2C633" w14:textId="77777777" w:rsidR="00E07038" w:rsidRPr="00E724F1" w:rsidRDefault="00E07038" w:rsidP="0042113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For centralized PCI assignment in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, the OAM assigns a single PCI for each NR cell in the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, and the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selects this value as the PCI of the NR cell.</w:t>
            </w:r>
          </w:p>
          <w:p w14:paraId="7A6A53C9" w14:textId="77777777" w:rsidR="00E07038" w:rsidRPr="00E724F1" w:rsidRDefault="00E07038" w:rsidP="00421130">
            <w:pPr>
              <w:keepNext/>
              <w:keepLines/>
              <w:widowControl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bookmarkStart w:id="6" w:name="_Toc109153952"/>
            <w:r w:rsidRPr="00E724F1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/>
              </w:rPr>
              <w:t>15.5.6.2</w:t>
            </w:r>
            <w:r w:rsidRPr="00E724F1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tab/>
            </w:r>
            <w:r w:rsidRPr="00E724F1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/>
              </w:rPr>
              <w:t>Distributed PCI Assignment</w:t>
            </w:r>
            <w:bookmarkEnd w:id="6"/>
          </w:p>
          <w:p w14:paraId="5C1D4E3D" w14:textId="77777777" w:rsidR="00E07038" w:rsidRPr="00FF4609" w:rsidRDefault="00E07038" w:rsidP="0042113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For distributed PCI assignment in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, the OAM assigns a list of PCIs for each NR cell in the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, and the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selects a PCI value from the list of PCIs. The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may restrict this list by removing some PCIs that are reported by UEs, reported over the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Xn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interface by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neighboring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gNBs</w:t>
            </w:r>
            <w:proofErr w:type="spell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, and/or </w:t>
            </w:r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acquired through other methods, </w:t>
            </w:r>
            <w:proofErr w:type="gramStart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e.g.</w:t>
            </w:r>
            <w:proofErr w:type="gramEnd"/>
            <w:r w:rsidRPr="00E724F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detected over the air using a downlink receiver.</w:t>
            </w:r>
          </w:p>
          <w:p w14:paraId="6B4F5CB0" w14:textId="77777777" w:rsidR="00E07038" w:rsidRPr="00B76E38" w:rsidRDefault="00E07038" w:rsidP="0042113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</w:pPr>
            <w:bookmarkStart w:id="7" w:name="_Toc98351704"/>
            <w:bookmarkStart w:id="8" w:name="_Toc98748002"/>
            <w:bookmarkStart w:id="9" w:name="_Toc105704388"/>
            <w:bookmarkStart w:id="10" w:name="_Toc106108506"/>
            <w:bookmarkStart w:id="11" w:name="_Toc107829478"/>
            <w:r w:rsidRPr="00B76E38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>7.8</w:t>
            </w:r>
            <w:r w:rsidRPr="00B76E38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ab/>
              <w:t>PCI Optimisation Function</w:t>
            </w:r>
            <w:bookmarkEnd w:id="7"/>
            <w:bookmarkEnd w:id="8"/>
            <w:bookmarkEnd w:id="9"/>
            <w:bookmarkEnd w:id="10"/>
            <w:bookmarkEnd w:id="11"/>
            <w:r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 xml:space="preserve"> [3]</w:t>
            </w:r>
          </w:p>
          <w:p w14:paraId="5EA3C6AB" w14:textId="77777777" w:rsidR="00E07038" w:rsidRPr="00B76E38" w:rsidRDefault="00E07038" w:rsidP="0042113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The PCI Optimization Function in non-split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case is specified in TS 38.300 [2].</w:t>
            </w:r>
          </w:p>
          <w:p w14:paraId="4C097C57" w14:textId="77777777" w:rsidR="00E07038" w:rsidRPr="00B76E38" w:rsidRDefault="00E07038" w:rsidP="00421130">
            <w:pPr>
              <w:widowControl/>
              <w:tabs>
                <w:tab w:val="left" w:pos="740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OAM configures a PCI for each NR cell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-DU.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ab/>
            </w:r>
          </w:p>
          <w:p w14:paraId="22F3F6DD" w14:textId="77777777" w:rsidR="00E07038" w:rsidRPr="00B76E38" w:rsidRDefault="00E07038" w:rsidP="0042113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For centralized PCI assignment 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detects PCI conflict of NR cells and reports the NR cells suffering PCI conflict to OAM directly. The OAM </w:t>
            </w:r>
            <w:proofErr w:type="gram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is in charge of</w:t>
            </w:r>
            <w:proofErr w:type="gram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reassigning a new PCI for the NR cell subject to PCI conflict.</w:t>
            </w:r>
          </w:p>
          <w:p w14:paraId="04524D49" w14:textId="77777777" w:rsidR="00E07038" w:rsidRPr="008E4D2F" w:rsidRDefault="00E07038" w:rsidP="0042113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For distributed PCI assignment 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OAM assigns a list of PCIs for each NR cell and sends the configured PCI list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-CU. If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detects PCI conflict,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may select a new PCI value from the preconfigured PCI list for the NR cell and send it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-DU by either F1 Setup procedure or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-CU configuration update procedure.</w:t>
            </w:r>
          </w:p>
        </w:tc>
      </w:tr>
    </w:tbl>
    <w:p w14:paraId="2AFF1D3C" w14:textId="77777777" w:rsidR="00E07038" w:rsidRPr="00E07038" w:rsidRDefault="00E07038" w:rsidP="00944C84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</w:rPr>
      </w:pPr>
    </w:p>
    <w:sectPr w:rsidR="00E07038" w:rsidRPr="00E07038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8A274" w14:textId="77777777" w:rsidR="00FE28E5" w:rsidRDefault="00FE28E5" w:rsidP="00AA3FAE">
      <w:r>
        <w:separator/>
      </w:r>
    </w:p>
  </w:endnote>
  <w:endnote w:type="continuationSeparator" w:id="0">
    <w:p w14:paraId="11562DDD" w14:textId="77777777" w:rsidR="00FE28E5" w:rsidRDefault="00FE28E5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BBD87" w14:textId="77777777" w:rsidR="00FE28E5" w:rsidRDefault="00FE28E5" w:rsidP="00AA3FAE">
      <w:r>
        <w:separator/>
      </w:r>
    </w:p>
  </w:footnote>
  <w:footnote w:type="continuationSeparator" w:id="0">
    <w:p w14:paraId="69391663" w14:textId="77777777" w:rsidR="00FE28E5" w:rsidRDefault="00FE28E5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E7410"/>
    <w:multiLevelType w:val="hybridMultilevel"/>
    <w:tmpl w:val="BE961BDC"/>
    <w:lvl w:ilvl="0" w:tplc="4B764A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3E58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443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224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687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CA5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425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3EC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B077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22A6F"/>
    <w:rsid w:val="00024188"/>
    <w:rsid w:val="00026089"/>
    <w:rsid w:val="000306D0"/>
    <w:rsid w:val="00032116"/>
    <w:rsid w:val="00035328"/>
    <w:rsid w:val="00035983"/>
    <w:rsid w:val="00047E11"/>
    <w:rsid w:val="000505CB"/>
    <w:rsid w:val="00053336"/>
    <w:rsid w:val="000566E1"/>
    <w:rsid w:val="00060A16"/>
    <w:rsid w:val="000613CF"/>
    <w:rsid w:val="0006683B"/>
    <w:rsid w:val="00070D39"/>
    <w:rsid w:val="00072D31"/>
    <w:rsid w:val="0007706D"/>
    <w:rsid w:val="000821E8"/>
    <w:rsid w:val="00086B95"/>
    <w:rsid w:val="000874BB"/>
    <w:rsid w:val="000942DC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E24D5"/>
    <w:rsid w:val="000E61B1"/>
    <w:rsid w:val="000E651D"/>
    <w:rsid w:val="000E706D"/>
    <w:rsid w:val="000F0260"/>
    <w:rsid w:val="000F6A9D"/>
    <w:rsid w:val="000F7E87"/>
    <w:rsid w:val="00100689"/>
    <w:rsid w:val="00101812"/>
    <w:rsid w:val="00107AD8"/>
    <w:rsid w:val="00111B28"/>
    <w:rsid w:val="0011469E"/>
    <w:rsid w:val="00121955"/>
    <w:rsid w:val="00123848"/>
    <w:rsid w:val="00130515"/>
    <w:rsid w:val="00134A9A"/>
    <w:rsid w:val="00134C0A"/>
    <w:rsid w:val="001353CD"/>
    <w:rsid w:val="001403B2"/>
    <w:rsid w:val="0015062E"/>
    <w:rsid w:val="0015523D"/>
    <w:rsid w:val="001556FC"/>
    <w:rsid w:val="00161A1A"/>
    <w:rsid w:val="001623DF"/>
    <w:rsid w:val="0017256C"/>
    <w:rsid w:val="00172D96"/>
    <w:rsid w:val="0017356D"/>
    <w:rsid w:val="001847E8"/>
    <w:rsid w:val="0018528A"/>
    <w:rsid w:val="00190FAF"/>
    <w:rsid w:val="00192908"/>
    <w:rsid w:val="0019499C"/>
    <w:rsid w:val="0019595A"/>
    <w:rsid w:val="001A2383"/>
    <w:rsid w:val="001A38C6"/>
    <w:rsid w:val="001A44C7"/>
    <w:rsid w:val="001B31AB"/>
    <w:rsid w:val="001B4DEE"/>
    <w:rsid w:val="001C0F1D"/>
    <w:rsid w:val="001C3355"/>
    <w:rsid w:val="001D64DD"/>
    <w:rsid w:val="001D781E"/>
    <w:rsid w:val="001E31B9"/>
    <w:rsid w:val="001E3B95"/>
    <w:rsid w:val="001F0325"/>
    <w:rsid w:val="001F34D3"/>
    <w:rsid w:val="001F5824"/>
    <w:rsid w:val="00200B66"/>
    <w:rsid w:val="002070BF"/>
    <w:rsid w:val="00213791"/>
    <w:rsid w:val="0022248C"/>
    <w:rsid w:val="00222F62"/>
    <w:rsid w:val="00227B13"/>
    <w:rsid w:val="00230B9F"/>
    <w:rsid w:val="00232519"/>
    <w:rsid w:val="00233CFB"/>
    <w:rsid w:val="0024433A"/>
    <w:rsid w:val="00245134"/>
    <w:rsid w:val="00245E3F"/>
    <w:rsid w:val="002500C6"/>
    <w:rsid w:val="00252938"/>
    <w:rsid w:val="00256265"/>
    <w:rsid w:val="00261529"/>
    <w:rsid w:val="00273BFE"/>
    <w:rsid w:val="00277010"/>
    <w:rsid w:val="00281EF8"/>
    <w:rsid w:val="00283294"/>
    <w:rsid w:val="00286C7E"/>
    <w:rsid w:val="00292940"/>
    <w:rsid w:val="002A31BD"/>
    <w:rsid w:val="002A539D"/>
    <w:rsid w:val="002A5557"/>
    <w:rsid w:val="002A7108"/>
    <w:rsid w:val="002B0937"/>
    <w:rsid w:val="002B23C1"/>
    <w:rsid w:val="002B61AB"/>
    <w:rsid w:val="002B7FB5"/>
    <w:rsid w:val="002C0464"/>
    <w:rsid w:val="002C1BFE"/>
    <w:rsid w:val="002C6DA5"/>
    <w:rsid w:val="002D1AB8"/>
    <w:rsid w:val="002D1BDF"/>
    <w:rsid w:val="002D370E"/>
    <w:rsid w:val="002D6F0D"/>
    <w:rsid w:val="002E166E"/>
    <w:rsid w:val="002F0CB9"/>
    <w:rsid w:val="002F1916"/>
    <w:rsid w:val="002F231B"/>
    <w:rsid w:val="002F4481"/>
    <w:rsid w:val="002F7DD1"/>
    <w:rsid w:val="00304AB3"/>
    <w:rsid w:val="003169C7"/>
    <w:rsid w:val="00317068"/>
    <w:rsid w:val="0031760A"/>
    <w:rsid w:val="003179AD"/>
    <w:rsid w:val="00320575"/>
    <w:rsid w:val="0032139A"/>
    <w:rsid w:val="0032255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73427"/>
    <w:rsid w:val="00384956"/>
    <w:rsid w:val="00385E03"/>
    <w:rsid w:val="003901C4"/>
    <w:rsid w:val="003912D7"/>
    <w:rsid w:val="003976B5"/>
    <w:rsid w:val="003A0B1A"/>
    <w:rsid w:val="003A18F1"/>
    <w:rsid w:val="003A4A2A"/>
    <w:rsid w:val="003A5735"/>
    <w:rsid w:val="003A68EF"/>
    <w:rsid w:val="003B170E"/>
    <w:rsid w:val="003B23AD"/>
    <w:rsid w:val="003B3394"/>
    <w:rsid w:val="003B4C4B"/>
    <w:rsid w:val="003B753E"/>
    <w:rsid w:val="003C172B"/>
    <w:rsid w:val="003C333E"/>
    <w:rsid w:val="003C6CEF"/>
    <w:rsid w:val="003D1F7C"/>
    <w:rsid w:val="003E25E3"/>
    <w:rsid w:val="003E65A1"/>
    <w:rsid w:val="003F22E5"/>
    <w:rsid w:val="003F2D27"/>
    <w:rsid w:val="003F2E3B"/>
    <w:rsid w:val="003F5217"/>
    <w:rsid w:val="00402DFA"/>
    <w:rsid w:val="0040415F"/>
    <w:rsid w:val="0040527B"/>
    <w:rsid w:val="00405361"/>
    <w:rsid w:val="00410D54"/>
    <w:rsid w:val="004139B5"/>
    <w:rsid w:val="004139F0"/>
    <w:rsid w:val="00415D56"/>
    <w:rsid w:val="0042219E"/>
    <w:rsid w:val="00431BB4"/>
    <w:rsid w:val="00437048"/>
    <w:rsid w:val="0043789D"/>
    <w:rsid w:val="00445267"/>
    <w:rsid w:val="00445609"/>
    <w:rsid w:val="004561FF"/>
    <w:rsid w:val="00460BC2"/>
    <w:rsid w:val="00460E08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2019"/>
    <w:rsid w:val="00493281"/>
    <w:rsid w:val="004958CF"/>
    <w:rsid w:val="00496C05"/>
    <w:rsid w:val="004A40B8"/>
    <w:rsid w:val="004A4FFF"/>
    <w:rsid w:val="004A7B5F"/>
    <w:rsid w:val="004B04C5"/>
    <w:rsid w:val="004B453E"/>
    <w:rsid w:val="004B516C"/>
    <w:rsid w:val="004B5B72"/>
    <w:rsid w:val="004B5BA7"/>
    <w:rsid w:val="004B5F55"/>
    <w:rsid w:val="004C1E05"/>
    <w:rsid w:val="004C4B68"/>
    <w:rsid w:val="004C753F"/>
    <w:rsid w:val="004D23F2"/>
    <w:rsid w:val="004D54D2"/>
    <w:rsid w:val="004E0968"/>
    <w:rsid w:val="004E7396"/>
    <w:rsid w:val="004F17F8"/>
    <w:rsid w:val="004F1FBE"/>
    <w:rsid w:val="004F638B"/>
    <w:rsid w:val="004F7753"/>
    <w:rsid w:val="004F7F21"/>
    <w:rsid w:val="004F7FA8"/>
    <w:rsid w:val="00502253"/>
    <w:rsid w:val="0052218C"/>
    <w:rsid w:val="005237AE"/>
    <w:rsid w:val="00524065"/>
    <w:rsid w:val="00524DF3"/>
    <w:rsid w:val="00525376"/>
    <w:rsid w:val="00530F9F"/>
    <w:rsid w:val="00531731"/>
    <w:rsid w:val="00532DEC"/>
    <w:rsid w:val="005347E6"/>
    <w:rsid w:val="005355E0"/>
    <w:rsid w:val="00542822"/>
    <w:rsid w:val="00542A22"/>
    <w:rsid w:val="00547870"/>
    <w:rsid w:val="005508EC"/>
    <w:rsid w:val="00550D47"/>
    <w:rsid w:val="00555D66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50E7"/>
    <w:rsid w:val="00576069"/>
    <w:rsid w:val="00587CBF"/>
    <w:rsid w:val="00590794"/>
    <w:rsid w:val="005939B2"/>
    <w:rsid w:val="00594E0D"/>
    <w:rsid w:val="005A0141"/>
    <w:rsid w:val="005A7B59"/>
    <w:rsid w:val="005B4B3A"/>
    <w:rsid w:val="005B7597"/>
    <w:rsid w:val="005C686B"/>
    <w:rsid w:val="005C6EEA"/>
    <w:rsid w:val="005D286B"/>
    <w:rsid w:val="005E7BCB"/>
    <w:rsid w:val="005F43A6"/>
    <w:rsid w:val="005F5BD1"/>
    <w:rsid w:val="00600143"/>
    <w:rsid w:val="006040E0"/>
    <w:rsid w:val="00604CC3"/>
    <w:rsid w:val="00605573"/>
    <w:rsid w:val="00607C4A"/>
    <w:rsid w:val="00612ED9"/>
    <w:rsid w:val="006215A5"/>
    <w:rsid w:val="0062366C"/>
    <w:rsid w:val="00625208"/>
    <w:rsid w:val="0062793F"/>
    <w:rsid w:val="00632A14"/>
    <w:rsid w:val="0063421A"/>
    <w:rsid w:val="00662469"/>
    <w:rsid w:val="00666EA1"/>
    <w:rsid w:val="00674202"/>
    <w:rsid w:val="006749D1"/>
    <w:rsid w:val="00677632"/>
    <w:rsid w:val="00683F02"/>
    <w:rsid w:val="00683F4C"/>
    <w:rsid w:val="00684A40"/>
    <w:rsid w:val="00687312"/>
    <w:rsid w:val="00687695"/>
    <w:rsid w:val="00696619"/>
    <w:rsid w:val="006A3137"/>
    <w:rsid w:val="006A3783"/>
    <w:rsid w:val="006A53D6"/>
    <w:rsid w:val="006B0FE9"/>
    <w:rsid w:val="006C1E84"/>
    <w:rsid w:val="006D01B7"/>
    <w:rsid w:val="006D1A36"/>
    <w:rsid w:val="006D2AEE"/>
    <w:rsid w:val="006D6F3D"/>
    <w:rsid w:val="006E2F17"/>
    <w:rsid w:val="006E5A0A"/>
    <w:rsid w:val="006E7976"/>
    <w:rsid w:val="006E7CED"/>
    <w:rsid w:val="006F50AC"/>
    <w:rsid w:val="00703BAA"/>
    <w:rsid w:val="00705A56"/>
    <w:rsid w:val="0070723A"/>
    <w:rsid w:val="00707369"/>
    <w:rsid w:val="00710426"/>
    <w:rsid w:val="00712644"/>
    <w:rsid w:val="00715902"/>
    <w:rsid w:val="007209B0"/>
    <w:rsid w:val="00730BC7"/>
    <w:rsid w:val="00732AEF"/>
    <w:rsid w:val="00736D28"/>
    <w:rsid w:val="00737853"/>
    <w:rsid w:val="007452B6"/>
    <w:rsid w:val="00746F35"/>
    <w:rsid w:val="0075025C"/>
    <w:rsid w:val="0075187D"/>
    <w:rsid w:val="00754B91"/>
    <w:rsid w:val="0076720C"/>
    <w:rsid w:val="00770C1B"/>
    <w:rsid w:val="00772978"/>
    <w:rsid w:val="00772E0B"/>
    <w:rsid w:val="00780AEB"/>
    <w:rsid w:val="0078172C"/>
    <w:rsid w:val="007846F4"/>
    <w:rsid w:val="007C4A72"/>
    <w:rsid w:val="007D06AC"/>
    <w:rsid w:val="007E1B20"/>
    <w:rsid w:val="007F2A4D"/>
    <w:rsid w:val="007F2E5B"/>
    <w:rsid w:val="007F6218"/>
    <w:rsid w:val="007F72C7"/>
    <w:rsid w:val="00811326"/>
    <w:rsid w:val="00813C06"/>
    <w:rsid w:val="00820313"/>
    <w:rsid w:val="00825F46"/>
    <w:rsid w:val="00832BE1"/>
    <w:rsid w:val="00835D29"/>
    <w:rsid w:val="0084197E"/>
    <w:rsid w:val="00844B51"/>
    <w:rsid w:val="00846F8C"/>
    <w:rsid w:val="008522C2"/>
    <w:rsid w:val="00864DEE"/>
    <w:rsid w:val="00865F65"/>
    <w:rsid w:val="00866ED3"/>
    <w:rsid w:val="00870252"/>
    <w:rsid w:val="008714A7"/>
    <w:rsid w:val="00881EEB"/>
    <w:rsid w:val="0088224B"/>
    <w:rsid w:val="00885223"/>
    <w:rsid w:val="00885F05"/>
    <w:rsid w:val="0088742B"/>
    <w:rsid w:val="00887EAA"/>
    <w:rsid w:val="008924B1"/>
    <w:rsid w:val="0089705F"/>
    <w:rsid w:val="008974CD"/>
    <w:rsid w:val="008A6D83"/>
    <w:rsid w:val="008B1345"/>
    <w:rsid w:val="008B1CAD"/>
    <w:rsid w:val="008B3D16"/>
    <w:rsid w:val="008B4CFB"/>
    <w:rsid w:val="008B7932"/>
    <w:rsid w:val="008B7D21"/>
    <w:rsid w:val="008C26CC"/>
    <w:rsid w:val="008C7F51"/>
    <w:rsid w:val="008D3D70"/>
    <w:rsid w:val="008D7810"/>
    <w:rsid w:val="008E0ECE"/>
    <w:rsid w:val="008E4D2F"/>
    <w:rsid w:val="008E59A7"/>
    <w:rsid w:val="008F063F"/>
    <w:rsid w:val="008F2DC7"/>
    <w:rsid w:val="008F2F0A"/>
    <w:rsid w:val="008F3B09"/>
    <w:rsid w:val="00906767"/>
    <w:rsid w:val="009113BD"/>
    <w:rsid w:val="009174F1"/>
    <w:rsid w:val="00920490"/>
    <w:rsid w:val="00922240"/>
    <w:rsid w:val="009259CA"/>
    <w:rsid w:val="0092699C"/>
    <w:rsid w:val="00926DCD"/>
    <w:rsid w:val="00930F2B"/>
    <w:rsid w:val="00932D3E"/>
    <w:rsid w:val="00943A26"/>
    <w:rsid w:val="00944C84"/>
    <w:rsid w:val="00952028"/>
    <w:rsid w:val="0095297E"/>
    <w:rsid w:val="00953570"/>
    <w:rsid w:val="009551A9"/>
    <w:rsid w:val="00957C7B"/>
    <w:rsid w:val="009607EC"/>
    <w:rsid w:val="00961CE9"/>
    <w:rsid w:val="009658E1"/>
    <w:rsid w:val="009912C5"/>
    <w:rsid w:val="00992405"/>
    <w:rsid w:val="009926ED"/>
    <w:rsid w:val="00994662"/>
    <w:rsid w:val="00994907"/>
    <w:rsid w:val="009A07F1"/>
    <w:rsid w:val="009B000E"/>
    <w:rsid w:val="009B19F1"/>
    <w:rsid w:val="009B3EF1"/>
    <w:rsid w:val="009C3C24"/>
    <w:rsid w:val="009C6DD1"/>
    <w:rsid w:val="009C7F3D"/>
    <w:rsid w:val="009D6382"/>
    <w:rsid w:val="009E4AD9"/>
    <w:rsid w:val="009E4D5F"/>
    <w:rsid w:val="009E506A"/>
    <w:rsid w:val="009E7474"/>
    <w:rsid w:val="009F1E23"/>
    <w:rsid w:val="009F71E8"/>
    <w:rsid w:val="00A035AE"/>
    <w:rsid w:val="00A038AA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2157"/>
    <w:rsid w:val="00A37406"/>
    <w:rsid w:val="00A45B7F"/>
    <w:rsid w:val="00A46452"/>
    <w:rsid w:val="00A51D78"/>
    <w:rsid w:val="00A537B0"/>
    <w:rsid w:val="00A53E8A"/>
    <w:rsid w:val="00A5584E"/>
    <w:rsid w:val="00A601A2"/>
    <w:rsid w:val="00A661E2"/>
    <w:rsid w:val="00A765AC"/>
    <w:rsid w:val="00A77D6B"/>
    <w:rsid w:val="00A81646"/>
    <w:rsid w:val="00A84C0F"/>
    <w:rsid w:val="00A84D97"/>
    <w:rsid w:val="00A85027"/>
    <w:rsid w:val="00A93291"/>
    <w:rsid w:val="00A933F5"/>
    <w:rsid w:val="00AA290B"/>
    <w:rsid w:val="00AA2E85"/>
    <w:rsid w:val="00AA3FAE"/>
    <w:rsid w:val="00AA70B5"/>
    <w:rsid w:val="00AA7EAE"/>
    <w:rsid w:val="00AB0A5A"/>
    <w:rsid w:val="00AB36CC"/>
    <w:rsid w:val="00AB47C7"/>
    <w:rsid w:val="00AC25E2"/>
    <w:rsid w:val="00AC3051"/>
    <w:rsid w:val="00AC44C3"/>
    <w:rsid w:val="00AC553A"/>
    <w:rsid w:val="00AC6826"/>
    <w:rsid w:val="00AE4ACB"/>
    <w:rsid w:val="00AF05F2"/>
    <w:rsid w:val="00AF4491"/>
    <w:rsid w:val="00AF7716"/>
    <w:rsid w:val="00B0062A"/>
    <w:rsid w:val="00B02263"/>
    <w:rsid w:val="00B06DA9"/>
    <w:rsid w:val="00B12328"/>
    <w:rsid w:val="00B17651"/>
    <w:rsid w:val="00B2364A"/>
    <w:rsid w:val="00B25314"/>
    <w:rsid w:val="00B26539"/>
    <w:rsid w:val="00B33EE7"/>
    <w:rsid w:val="00B34B5A"/>
    <w:rsid w:val="00B40018"/>
    <w:rsid w:val="00B403D4"/>
    <w:rsid w:val="00B447E6"/>
    <w:rsid w:val="00B46699"/>
    <w:rsid w:val="00B54FE2"/>
    <w:rsid w:val="00B65204"/>
    <w:rsid w:val="00B72A52"/>
    <w:rsid w:val="00B74D0D"/>
    <w:rsid w:val="00B76E38"/>
    <w:rsid w:val="00B83738"/>
    <w:rsid w:val="00B95D51"/>
    <w:rsid w:val="00B97129"/>
    <w:rsid w:val="00BA0DA5"/>
    <w:rsid w:val="00BA2D04"/>
    <w:rsid w:val="00BA5E1C"/>
    <w:rsid w:val="00BA5EDA"/>
    <w:rsid w:val="00BA6553"/>
    <w:rsid w:val="00BA684C"/>
    <w:rsid w:val="00BB35E5"/>
    <w:rsid w:val="00BB4827"/>
    <w:rsid w:val="00BC12B3"/>
    <w:rsid w:val="00BC78CF"/>
    <w:rsid w:val="00BC7983"/>
    <w:rsid w:val="00BD17DA"/>
    <w:rsid w:val="00BD48C4"/>
    <w:rsid w:val="00BD6541"/>
    <w:rsid w:val="00BD738F"/>
    <w:rsid w:val="00BE0BE9"/>
    <w:rsid w:val="00BE22B6"/>
    <w:rsid w:val="00BE70DD"/>
    <w:rsid w:val="00BF13D7"/>
    <w:rsid w:val="00BF29CB"/>
    <w:rsid w:val="00BF33F7"/>
    <w:rsid w:val="00BF6DFF"/>
    <w:rsid w:val="00C003BC"/>
    <w:rsid w:val="00C00649"/>
    <w:rsid w:val="00C00903"/>
    <w:rsid w:val="00C05BB5"/>
    <w:rsid w:val="00C071E0"/>
    <w:rsid w:val="00C07D41"/>
    <w:rsid w:val="00C11F54"/>
    <w:rsid w:val="00C15F89"/>
    <w:rsid w:val="00C20B7E"/>
    <w:rsid w:val="00C22AF4"/>
    <w:rsid w:val="00C245B8"/>
    <w:rsid w:val="00C25734"/>
    <w:rsid w:val="00C27EF7"/>
    <w:rsid w:val="00C31487"/>
    <w:rsid w:val="00C32D7B"/>
    <w:rsid w:val="00C330D5"/>
    <w:rsid w:val="00C33396"/>
    <w:rsid w:val="00C33EEF"/>
    <w:rsid w:val="00C34B6D"/>
    <w:rsid w:val="00C35A8E"/>
    <w:rsid w:val="00C35B41"/>
    <w:rsid w:val="00C447AC"/>
    <w:rsid w:val="00C53D68"/>
    <w:rsid w:val="00C607C0"/>
    <w:rsid w:val="00C609F2"/>
    <w:rsid w:val="00C6567D"/>
    <w:rsid w:val="00C7223F"/>
    <w:rsid w:val="00C72915"/>
    <w:rsid w:val="00C801B5"/>
    <w:rsid w:val="00C85269"/>
    <w:rsid w:val="00C92F7E"/>
    <w:rsid w:val="00C975EA"/>
    <w:rsid w:val="00CA267C"/>
    <w:rsid w:val="00CA2C1E"/>
    <w:rsid w:val="00CA2F8B"/>
    <w:rsid w:val="00CB162A"/>
    <w:rsid w:val="00CB3C92"/>
    <w:rsid w:val="00CC31C4"/>
    <w:rsid w:val="00CC614A"/>
    <w:rsid w:val="00CD3CA4"/>
    <w:rsid w:val="00CD79A8"/>
    <w:rsid w:val="00CE123B"/>
    <w:rsid w:val="00CF1634"/>
    <w:rsid w:val="00CF481F"/>
    <w:rsid w:val="00CF4D2F"/>
    <w:rsid w:val="00CF620B"/>
    <w:rsid w:val="00D04CF3"/>
    <w:rsid w:val="00D104F6"/>
    <w:rsid w:val="00D10A73"/>
    <w:rsid w:val="00D13826"/>
    <w:rsid w:val="00D16A9A"/>
    <w:rsid w:val="00D17D74"/>
    <w:rsid w:val="00D224C9"/>
    <w:rsid w:val="00D24B77"/>
    <w:rsid w:val="00D24EA2"/>
    <w:rsid w:val="00D355CC"/>
    <w:rsid w:val="00D418AD"/>
    <w:rsid w:val="00D44373"/>
    <w:rsid w:val="00D51E3A"/>
    <w:rsid w:val="00D523ED"/>
    <w:rsid w:val="00D54D42"/>
    <w:rsid w:val="00D56D50"/>
    <w:rsid w:val="00D647CA"/>
    <w:rsid w:val="00D65253"/>
    <w:rsid w:val="00D67F2F"/>
    <w:rsid w:val="00D736E9"/>
    <w:rsid w:val="00D7562B"/>
    <w:rsid w:val="00D76F6E"/>
    <w:rsid w:val="00D8082F"/>
    <w:rsid w:val="00D81223"/>
    <w:rsid w:val="00D83A9F"/>
    <w:rsid w:val="00D84224"/>
    <w:rsid w:val="00D918B8"/>
    <w:rsid w:val="00D94565"/>
    <w:rsid w:val="00D956D6"/>
    <w:rsid w:val="00DA1F42"/>
    <w:rsid w:val="00DA3F49"/>
    <w:rsid w:val="00DC21C1"/>
    <w:rsid w:val="00DC331A"/>
    <w:rsid w:val="00DD042C"/>
    <w:rsid w:val="00DD07BD"/>
    <w:rsid w:val="00DD60E2"/>
    <w:rsid w:val="00DD75DA"/>
    <w:rsid w:val="00DE36BD"/>
    <w:rsid w:val="00DE67F4"/>
    <w:rsid w:val="00DF01D0"/>
    <w:rsid w:val="00DF28E0"/>
    <w:rsid w:val="00DF5B75"/>
    <w:rsid w:val="00DF66F0"/>
    <w:rsid w:val="00E04A87"/>
    <w:rsid w:val="00E07038"/>
    <w:rsid w:val="00E07600"/>
    <w:rsid w:val="00E15A94"/>
    <w:rsid w:val="00E2281F"/>
    <w:rsid w:val="00E27BBF"/>
    <w:rsid w:val="00E363D8"/>
    <w:rsid w:val="00E42658"/>
    <w:rsid w:val="00E43BBA"/>
    <w:rsid w:val="00E500C5"/>
    <w:rsid w:val="00E51E85"/>
    <w:rsid w:val="00E52A20"/>
    <w:rsid w:val="00E55D1E"/>
    <w:rsid w:val="00E5668E"/>
    <w:rsid w:val="00E56D69"/>
    <w:rsid w:val="00E57029"/>
    <w:rsid w:val="00E609B5"/>
    <w:rsid w:val="00E61DE0"/>
    <w:rsid w:val="00E63122"/>
    <w:rsid w:val="00E63F06"/>
    <w:rsid w:val="00E64886"/>
    <w:rsid w:val="00E651CF"/>
    <w:rsid w:val="00E6798F"/>
    <w:rsid w:val="00E67E0B"/>
    <w:rsid w:val="00E724F1"/>
    <w:rsid w:val="00E7751B"/>
    <w:rsid w:val="00E808A2"/>
    <w:rsid w:val="00E809E7"/>
    <w:rsid w:val="00EA73E5"/>
    <w:rsid w:val="00EB3664"/>
    <w:rsid w:val="00EB3AF7"/>
    <w:rsid w:val="00EB5D9B"/>
    <w:rsid w:val="00ED425C"/>
    <w:rsid w:val="00EE2B0A"/>
    <w:rsid w:val="00EE3198"/>
    <w:rsid w:val="00EE31DA"/>
    <w:rsid w:val="00EE6AEE"/>
    <w:rsid w:val="00EF4EF0"/>
    <w:rsid w:val="00EF57C9"/>
    <w:rsid w:val="00F0297E"/>
    <w:rsid w:val="00F077A3"/>
    <w:rsid w:val="00F10471"/>
    <w:rsid w:val="00F112F6"/>
    <w:rsid w:val="00F158EE"/>
    <w:rsid w:val="00F1701C"/>
    <w:rsid w:val="00F32774"/>
    <w:rsid w:val="00F35CAC"/>
    <w:rsid w:val="00F445C1"/>
    <w:rsid w:val="00F448E2"/>
    <w:rsid w:val="00F52357"/>
    <w:rsid w:val="00F5322B"/>
    <w:rsid w:val="00F56AEB"/>
    <w:rsid w:val="00F6131B"/>
    <w:rsid w:val="00F61D17"/>
    <w:rsid w:val="00F671B9"/>
    <w:rsid w:val="00F67B2B"/>
    <w:rsid w:val="00F729C9"/>
    <w:rsid w:val="00F738E0"/>
    <w:rsid w:val="00F7451E"/>
    <w:rsid w:val="00F77D76"/>
    <w:rsid w:val="00F80B45"/>
    <w:rsid w:val="00F862A3"/>
    <w:rsid w:val="00F862F2"/>
    <w:rsid w:val="00F9005F"/>
    <w:rsid w:val="00F910F0"/>
    <w:rsid w:val="00F92953"/>
    <w:rsid w:val="00F954B8"/>
    <w:rsid w:val="00F96856"/>
    <w:rsid w:val="00FA2BB6"/>
    <w:rsid w:val="00FA440F"/>
    <w:rsid w:val="00FB04E0"/>
    <w:rsid w:val="00FB795E"/>
    <w:rsid w:val="00FC144A"/>
    <w:rsid w:val="00FC2163"/>
    <w:rsid w:val="00FC5406"/>
    <w:rsid w:val="00FD075D"/>
    <w:rsid w:val="00FD2CF3"/>
    <w:rsid w:val="00FD491E"/>
    <w:rsid w:val="00FE28E5"/>
    <w:rsid w:val="00FE6719"/>
    <w:rsid w:val="00FF2385"/>
    <w:rsid w:val="00FF3A0E"/>
    <w:rsid w:val="00FF4609"/>
    <w:rsid w:val="00FF5A01"/>
    <w:rsid w:val="00FF69E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7F72C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72C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69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44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90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64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506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91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9370</TotalTime>
  <Pages>3</Pages>
  <Words>1156</Words>
  <Characters>6595</Characters>
  <Application>Microsoft Office Word</Application>
  <DocSecurity>0</DocSecurity>
  <Lines>54</Lines>
  <Paragraphs>15</Paragraphs>
  <ScaleCrop>false</ScaleCrop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525</cp:revision>
  <dcterms:created xsi:type="dcterms:W3CDTF">2021-01-15T00:45:00Z</dcterms:created>
  <dcterms:modified xsi:type="dcterms:W3CDTF">2022-09-28T01:24:00Z</dcterms:modified>
</cp:coreProperties>
</file>